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360" w:lineRule="auto"/>
        <w:jc w:val="center"/>
        <w:rPr>
          <w:rFonts w:ascii="Times New Roman" w:hAnsi="Times New Roman" w:cs="Times New Roman"/>
          <w:b/>
          <w:bCs/>
        </w:rPr>
      </w:pPr>
      <w:r>
        <w:rPr>
          <w:rFonts w:ascii="Times New Roman" w:hAnsi="Times New Roman" w:cs="Times New Roman"/>
          <w:b/>
          <w:bCs/>
        </w:rPr>
        <w:t>Educação</w:t>
      </w:r>
      <w:r>
        <w:rPr>
          <w:rFonts w:ascii="Times New Roman" w:hAnsi="Times New Roman" w:cs="Times New Roman"/>
          <w:b/>
          <w:bCs/>
        </w:rPr>
        <w:br w:type="textWrapping"/>
      </w:r>
      <w:r>
        <w:rPr>
          <w:rFonts w:ascii="Times New Roman" w:hAnsi="Times New Roman" w:cs="Times New Roman"/>
          <w:b/>
          <w:bCs/>
        </w:rPr>
        <w:t>Direção-Geral dos Estabelecimentos Escolares</w:t>
      </w:r>
    </w:p>
    <w:p>
      <w:pPr>
        <w:autoSpaceDE w:val="0"/>
        <w:autoSpaceDN w:val="0"/>
        <w:adjustRightInd w:val="0"/>
        <w:spacing w:after="0" w:line="360" w:lineRule="auto"/>
        <w:jc w:val="center"/>
        <w:rPr>
          <w:rFonts w:ascii="Times New Roman" w:hAnsi="Times New Roman" w:cs="Times New Roman"/>
          <w:b/>
        </w:rPr>
      </w:pPr>
      <w:r>
        <w:rPr>
          <w:rFonts w:ascii="Times New Roman" w:hAnsi="Times New Roman" w:cs="Times New Roman"/>
          <w:b/>
        </w:rPr>
        <w:t>Agrupamento de Escolas de Albufeira</w:t>
      </w:r>
    </w:p>
    <w:p>
      <w:pPr>
        <w:autoSpaceDE w:val="0"/>
        <w:autoSpaceDN w:val="0"/>
        <w:adjustRightInd w:val="0"/>
        <w:spacing w:after="0" w:line="360" w:lineRule="auto"/>
        <w:jc w:val="center"/>
        <w:rPr>
          <w:rFonts w:ascii="Times New Roman" w:hAnsi="Times New Roman" w:cs="Times New Roman"/>
          <w:b/>
        </w:rPr>
      </w:pPr>
    </w:p>
    <w:p>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Procedimento concursal comum de recrutamento de 2 assistentes operacionais em regime de contrato de trabalho em funções públicas por tempo determinado, com termo resolutivo certo e a tempo parcial.</w:t>
      </w:r>
    </w:p>
    <w:p>
      <w:pPr>
        <w:autoSpaceDE w:val="0"/>
        <w:autoSpaceDN w:val="0"/>
        <w:adjustRightInd w:val="0"/>
        <w:spacing w:after="0" w:line="360" w:lineRule="auto"/>
        <w:jc w:val="both"/>
        <w:rPr>
          <w:rFonts w:ascii="Times New Roman" w:hAnsi="Times New Roman" w:cs="Times New Roman"/>
          <w:b/>
          <w:bCs/>
          <w:sz w:val="24"/>
          <w:szCs w:val="24"/>
        </w:rPr>
      </w:pP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Nos termos do art. 33º e 34º, os nº 2, 3, 4 e 6 do art. 36º, os artigos 37º e 38º da LTFP, aprovada pela Lei no 35/2014 de 20 de junho, bem como da Portaria nº 125-A/2019 de 30 de abril, torna-se público que, por despacho de 23/08/2019, da Senhora Diretora Geral dos Estabelecimentos Escolares, se encontra aberto, pelo prazo de 10 dias úteis, a contar da data da publicação do presente aviso no </w:t>
      </w:r>
      <w:r>
        <w:rPr>
          <w:rFonts w:ascii="Times New Roman" w:hAnsi="Times New Roman" w:cs="Times New Roman"/>
          <w:i/>
          <w:iCs/>
          <w:sz w:val="24"/>
          <w:szCs w:val="24"/>
        </w:rPr>
        <w:t xml:space="preserve">Diário da República, </w:t>
      </w:r>
      <w:r>
        <w:rPr>
          <w:rFonts w:ascii="Times New Roman" w:hAnsi="Times New Roman" w:cs="Times New Roman"/>
          <w:sz w:val="24"/>
          <w:szCs w:val="24"/>
        </w:rPr>
        <w:t>o procedimento concursal comum na modalidade de contrato de trabalho em funções públicas a termo resolutivo certo a tempo parcial, para 2 assistentes operacionais, até 9 de junho de 2020, com 3,5 horas diárias e 17,5 horas semanais, ao abrigo da alínea h) do artigo 57º da LTFP.</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Requisitos de Admissão: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Ser detentor, até à data limite para apresentação das candidaturas, dos requisitos gerais de admissão previstos no artigo 17.º da LTFP, nomeadamente:</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Nacionalidade Portuguesa, quando não dispensada pela Constituição, convenção internacional ou lei especial;</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18 anos de idade completos;</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Não inibição do exercício de funções públicas ou não interdição para o exercício daquelas que se propõe a desempenhar;</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Robustez física e perfil psíquico indispensáveis ao exercício das funções;</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Cumprimento das leis de vacinação obrigatória.</w:t>
      </w:r>
    </w:p>
    <w:p>
      <w:pPr>
        <w:pStyle w:val="5"/>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b) Ser detentor da escolaridade obrigatória (considerando a data de nascimento), que pode ser substituída por experiência profissional comprovada, tendo em conta que se trata de um recrutamento para a carreira de assistente operacional com o grau de complexidade 1.</w:t>
      </w:r>
    </w:p>
    <w:p>
      <w:pPr>
        <w:spacing w:after="12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pt-PT"/>
        </w:rPr>
        <w:t xml:space="preserve">2 - </w:t>
      </w:r>
      <w:r>
        <w:rPr>
          <w:rFonts w:hint="default" w:ascii="Times New Roman" w:hAnsi="Times New Roman" w:cs="Times New Roman"/>
          <w:b/>
          <w:bCs/>
          <w:sz w:val="24"/>
          <w:szCs w:val="24"/>
        </w:rPr>
        <w:t>Caracterização do posto de trabalho</w:t>
      </w:r>
      <w:r>
        <w:rPr>
          <w:rFonts w:hint="default" w:ascii="Times New Roman" w:hAnsi="Times New Roman" w:cs="Times New Roman"/>
          <w:sz w:val="24"/>
          <w:szCs w:val="24"/>
        </w:rPr>
        <w:t xml:space="preserve"> - Os postos de trabalho a ocupar caracterizam-se pelo exercício de funções na carreira e categoria de assistente operacional, tal como descrito no Anexo referido no n.º 2 do artigo 88.º da LTFP, e de acordo com as atividades inerentes às de auxiliar de ação educativa, de acordo designadamente com o seguinte perfil de competências: </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a) Exercer as tarefas de atendimento e encaminhamento dos utilizadores das escolas e controlar as entradas e saídas da escola; </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b) Prestar informações, utilizar equipamentos de comunicação, incluindo estabelecer ligações telefónicas, receber e transmitir mensagens;</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c) Providenciar a limpeza, arrumação, conservação e boa utilização das instalações, bem como do material e equipamento didático e informático necessário ao desenvolvimento do processo educativo; </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d) Exercer atividades de apoio aos serviços de ação social escolar, laboratórios, refeitório, bar e bibliotecas escolares, de modo a permitir o seu normal funcionamento;</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e) Reproduzir documentos com utilização de equipamento próprio, assegurando a sua manutenção e gestão de stocks necessários ao seu funcionamento;</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f) Participar com os docentes no acompanhamento das crianças e jovens com vista a assegurar um bom ambiente educativo;</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g) Cooperar nas atividades que visem a segurança de crianças e jovens na escola;</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h) Prestar apoio e assistência em situações de primeiros socorros e, em caso de necessidade, acompanhar a criança ou o aluno à unidade de prestação de cuidados de saúde;</w:t>
      </w:r>
    </w:p>
    <w:p>
      <w:pPr>
        <w:spacing w:after="120"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i) Efetuar, no interior e exterior, tarefas de apoio de modo a permitir o normal funcionamento dos serviços.</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3</w:t>
      </w:r>
      <w:r>
        <w:rPr>
          <w:rFonts w:ascii="Times New Roman" w:hAnsi="Times New Roman" w:cs="Times New Roman"/>
          <w:sz w:val="24"/>
          <w:szCs w:val="24"/>
        </w:rPr>
        <w:t xml:space="preserve"> — Forma e prazo para apresentação das candidaturas:</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3</w:t>
      </w:r>
      <w:r>
        <w:rPr>
          <w:rFonts w:ascii="Times New Roman" w:hAnsi="Times New Roman" w:cs="Times New Roman"/>
          <w:sz w:val="24"/>
          <w:szCs w:val="24"/>
        </w:rPr>
        <w:t xml:space="preserve">.1 — As candidaturas serão apresentadas no prazo de 10 dias úteis contados da data da publicação no </w:t>
      </w:r>
      <w:r>
        <w:rPr>
          <w:rFonts w:ascii="Times New Roman" w:hAnsi="Times New Roman" w:cs="Times New Roman"/>
          <w:i/>
          <w:iCs/>
          <w:sz w:val="24"/>
          <w:szCs w:val="24"/>
        </w:rPr>
        <w:t xml:space="preserve">Diário da República, </w:t>
      </w:r>
      <w:r>
        <w:rPr>
          <w:rFonts w:ascii="Times New Roman" w:hAnsi="Times New Roman" w:cs="Times New Roman"/>
          <w:sz w:val="24"/>
          <w:szCs w:val="24"/>
        </w:rPr>
        <w:t>mediante preenchimento de formulário tipo, de utilização obrigatória, o qual está disponível nos serviços administrativos do agrupamento e na respetiva página eletrónica do agrupamento.</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3</w:t>
      </w:r>
      <w:r>
        <w:rPr>
          <w:rFonts w:ascii="Times New Roman" w:hAnsi="Times New Roman" w:cs="Times New Roman"/>
          <w:sz w:val="24"/>
          <w:szCs w:val="24"/>
        </w:rPr>
        <w:t>.2 — A candidatura deverá ser apresentada em suporte de papel e entregue nos serviços administrativos do agrupamento ou através de correio registado com aviso de receção, para Escola Básica e Secundária de Albufeira, sita em Vale Pedras, 8200-049 Albufeira, dirigida ao Diretor do Agrupamento de Escolas ou Escola não Agrupada até ao último dia do prazo para apresentação das candidaturas, acompanhada, sob pena de exclusão, dos seguintes documentos:</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Fotocópia do certificado das habilitações literárias; </w:t>
      </w:r>
      <w:r>
        <w:rPr>
          <w:rFonts w:ascii="Times New Roman" w:hAnsi="Times New Roman" w:cs="Times New Roman"/>
          <w:i/>
          <w:iCs/>
          <w:sz w:val="24"/>
          <w:szCs w:val="24"/>
        </w:rPr>
        <w:t xml:space="preserve">curriculum vitae, </w:t>
      </w:r>
      <w:r>
        <w:rPr>
          <w:rFonts w:ascii="Times New Roman" w:hAnsi="Times New Roman" w:cs="Times New Roman"/>
          <w:sz w:val="24"/>
          <w:szCs w:val="24"/>
        </w:rPr>
        <w:t xml:space="preserve">atualizado, datado e devidamente assinado no modelo europeu; fotocópia dos documentos comprovativos das ações de formação frequentadas com indicação da entidade que as promoveu, período em que as mesmas decorreram e respetiva duração em horas, caso existam; fotocópias de declarações e certificados da experiência profissional mencionada no </w:t>
      </w:r>
      <w:r>
        <w:rPr>
          <w:rFonts w:ascii="Times New Roman" w:hAnsi="Times New Roman" w:cs="Times New Roman"/>
          <w:i/>
          <w:sz w:val="24"/>
          <w:szCs w:val="24"/>
        </w:rPr>
        <w:t>curriculum vitae</w:t>
      </w:r>
      <w:r>
        <w:rPr>
          <w:rFonts w:ascii="Times New Roman" w:hAnsi="Times New Roman" w:cs="Times New Roman"/>
          <w:sz w:val="24"/>
          <w:szCs w:val="24"/>
        </w:rPr>
        <w:t xml:space="preserve">. </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caso de candidatos com deficiência, devem declarar no requerimento de admissão, sob compromisso de honra, o respetivo grau de incapacidade e tipo de deficiência, e anexar fotocópia de atestado médico de incapacidade, passado pela Administração Regional de Saúde, para os candidatos portadores de deficiência igual ou superior a 60 por cento. </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Não serão aceites candidaturas enviadas por correio eletrónico ou por fax.</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4</w:t>
      </w:r>
      <w:r>
        <w:rPr>
          <w:rFonts w:ascii="Times New Roman" w:hAnsi="Times New Roman" w:cs="Times New Roman"/>
          <w:sz w:val="24"/>
          <w:szCs w:val="24"/>
        </w:rPr>
        <w:t xml:space="preserve"> — Métodos de seleção e critérios:</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Considerando a urgência do recrutamento, será utilizado apenas um método de seleção obrigatório — avaliação curricular (AC).</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avaliação curricular será ponderada de acordo com a seguinte fórmula:</w:t>
      </w:r>
    </w:p>
    <w:p>
      <w:pPr>
        <w:spacing w:after="120" w:line="30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AC = (HAB + 2EP + FP + AD) / 5</w:t>
      </w:r>
    </w:p>
    <w:p>
      <w:pPr>
        <w:spacing w:line="360" w:lineRule="auto"/>
        <w:ind w:left="567"/>
        <w:jc w:val="both"/>
        <w:rPr>
          <w:rFonts w:hint="default" w:ascii="Times New Roman" w:hAnsi="Times New Roman" w:cs="Times New Roman"/>
          <w:sz w:val="24"/>
          <w:szCs w:val="24"/>
        </w:rPr>
      </w:pPr>
      <w:r>
        <w:rPr>
          <w:rFonts w:hint="default" w:ascii="Times New Roman" w:hAnsi="Times New Roman" w:cs="Times New Roman"/>
          <w:sz w:val="24"/>
          <w:szCs w:val="24"/>
        </w:rPr>
        <w:t>Habilitação académica de base (HAB) será graduada de acordo com a seguinte pontuação:</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20 valores – Doutoramento</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18 valores – Mestrado</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14 valores - Licenciatura</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10 valores – 12.º de escolaridade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Experiência profissional (EP) será graduada de acordo com a seguinte pontuação:</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20 valores – com experiência de 8 anos ou mais, no exercício de funções inerentes à carreira e categoria conforme descritas no aviso de abertura;</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18 valores – com experiência igual ou superior a 5 anos e inferior a 8 anos, no exercício de funções inerentes à carreira e categoria conforme descritas no aviso de abertura;</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16 valores – com experiência inferior a 5 anos, no exercício de funções inerentes à carreira e categoria conforme descritas no aviso de abertura;</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12 valores – sem experiência no exercício de funções inerentes à carreira e categoria conforme descritas no aviso de abertura;</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10 valores – sem experiência profissional.</w:t>
      </w:r>
    </w:p>
    <w:p>
      <w:pPr>
        <w:spacing w:line="360" w:lineRule="auto"/>
        <w:ind w:left="567"/>
        <w:jc w:val="both"/>
        <w:rPr>
          <w:rFonts w:hint="default" w:ascii="Times New Roman" w:hAnsi="Times New Roman" w:cs="Times New Roman"/>
          <w:sz w:val="24"/>
          <w:szCs w:val="24"/>
        </w:rPr>
      </w:pPr>
      <w:r>
        <w:rPr>
          <w:rFonts w:hint="default" w:ascii="Times New Roman" w:hAnsi="Times New Roman" w:cs="Times New Roman"/>
          <w:sz w:val="24"/>
          <w:szCs w:val="24"/>
        </w:rPr>
        <w:t>Formação profissional (FP) será classificada de acordo com a seguinte pontuação:</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20 valores – formação diretamente relacionada com a área funcional, com igual ou mais de 60 horas;</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18 valores – formação diretamente relacionada com a área funcional, com menos de 60 horas;</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14 valores – formação indiretamente relacionada com a área funcional, com igual ou mais de 60 horas;</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12 valores – formação indiretamente relacionada com a área funcional, com menos de 60 horas;</w:t>
      </w:r>
    </w:p>
    <w:p>
      <w:pPr>
        <w:spacing w:line="360" w:lineRule="auto"/>
        <w:ind w:left="1134"/>
        <w:jc w:val="both"/>
        <w:rPr>
          <w:rFonts w:hint="default" w:ascii="Times New Roman" w:hAnsi="Times New Roman" w:cs="Times New Roman"/>
          <w:sz w:val="24"/>
          <w:szCs w:val="24"/>
        </w:rPr>
      </w:pPr>
      <w:r>
        <w:rPr>
          <w:rFonts w:hint="default" w:ascii="Times New Roman" w:hAnsi="Times New Roman" w:cs="Times New Roman"/>
          <w:sz w:val="24"/>
          <w:szCs w:val="24"/>
        </w:rPr>
        <w:t>·      10 valores – sem formação.</w:t>
      </w:r>
    </w:p>
    <w:p>
      <w:pPr>
        <w:spacing w:after="120" w:line="300" w:lineRule="auto"/>
        <w:ind w:left="568"/>
        <w:jc w:val="both"/>
        <w:rPr>
          <w:rFonts w:hint="default" w:ascii="Times New Roman" w:hAnsi="Times New Roman" w:cs="Times New Roman"/>
          <w:sz w:val="24"/>
          <w:szCs w:val="24"/>
        </w:rPr>
      </w:pPr>
      <w:r>
        <w:rPr>
          <w:rFonts w:hint="default" w:ascii="Times New Roman" w:hAnsi="Times New Roman" w:cs="Times New Roman"/>
          <w:sz w:val="24"/>
          <w:szCs w:val="24"/>
        </w:rPr>
        <w:t>Avaliação do desempenho (AD) relativa ao último período, não superior a três, em que o candidato cumpriu ou executou atribuição, competência ou atividade idêntica às do posto de trabalho a ocupar, será classificada de acordo com a seguinte fórmula:</w:t>
      </w:r>
    </w:p>
    <w:p>
      <w:pPr>
        <w:spacing w:before="100" w:beforeAutospacing="1" w:after="120" w:line="300" w:lineRule="auto"/>
        <w:ind w:left="1276" w:firstLine="140"/>
        <w:jc w:val="both"/>
        <w:rPr>
          <w:rFonts w:hint="default" w:ascii="Times New Roman" w:hAnsi="Times New Roman" w:cs="Times New Roman"/>
          <w:sz w:val="24"/>
          <w:szCs w:val="24"/>
        </w:rPr>
      </w:pPr>
      <w:r>
        <w:rPr>
          <w:rFonts w:hint="default" w:ascii="Times New Roman" w:hAnsi="Times New Roman" w:cs="Times New Roman"/>
          <w:sz w:val="24"/>
          <w:szCs w:val="24"/>
        </w:rPr>
        <w:t>AD = 4 [(A+B+C)/3]</w:t>
      </w:r>
    </w:p>
    <w:p>
      <w:pPr>
        <w:spacing w:before="100" w:beforeAutospacing="1" w:after="120" w:line="300" w:lineRule="auto"/>
        <w:ind w:left="568"/>
        <w:jc w:val="both"/>
        <w:rPr>
          <w:rFonts w:hint="default" w:ascii="Times New Roman" w:hAnsi="Times New Roman" w:cs="Times New Roman"/>
          <w:sz w:val="24"/>
          <w:szCs w:val="24"/>
        </w:rPr>
      </w:pPr>
      <w:r>
        <w:rPr>
          <w:rFonts w:hint="default" w:ascii="Times New Roman" w:hAnsi="Times New Roman" w:cs="Times New Roman"/>
          <w:sz w:val="24"/>
          <w:szCs w:val="24"/>
        </w:rPr>
        <w:t>Em que A, B e C referem-se às pontuações das avaliações quantitativas dos últimos anos.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pt-PT"/>
        </w:rPr>
        <w:t xml:space="preserve">4.1 - </w:t>
      </w:r>
      <w:r>
        <w:rPr>
          <w:rFonts w:hint="default" w:ascii="Times New Roman" w:hAnsi="Times New Roman" w:cs="Times New Roman"/>
          <w:sz w:val="24"/>
          <w:szCs w:val="24"/>
        </w:rPr>
        <w:t xml:space="preserve">Os candidatos que não tenham avaliação do desempenho, ou tendo, não seja em atividades idênticas às do posto de trabalho a ocupar, serão valorados neste parâmetro com 13 valores. </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4</w:t>
      </w:r>
      <w:r>
        <w:rPr>
          <w:rFonts w:ascii="Times New Roman" w:hAnsi="Times New Roman" w:cs="Times New Roman"/>
          <w:sz w:val="24"/>
          <w:szCs w:val="24"/>
        </w:rPr>
        <w:t>.</w:t>
      </w:r>
      <w:r>
        <w:rPr>
          <w:rFonts w:hint="default" w:ascii="Times New Roman" w:hAnsi="Times New Roman" w:cs="Times New Roman"/>
          <w:sz w:val="24"/>
          <w:szCs w:val="24"/>
          <w:lang w:val="pt-PT"/>
        </w:rPr>
        <w:t>2</w:t>
      </w:r>
      <w:r>
        <w:rPr>
          <w:rFonts w:ascii="Times New Roman" w:hAnsi="Times New Roman" w:cs="Times New Roman"/>
          <w:sz w:val="24"/>
          <w:szCs w:val="24"/>
        </w:rPr>
        <w:t xml:space="preserve"> — Os candidatos que não se enquadrem nos requisitos de admissão serão excluídos do procedimento.</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4</w:t>
      </w:r>
      <w:r>
        <w:rPr>
          <w:rFonts w:ascii="Times New Roman" w:hAnsi="Times New Roman" w:cs="Times New Roman"/>
          <w:sz w:val="24"/>
          <w:szCs w:val="24"/>
        </w:rPr>
        <w:t>.</w:t>
      </w:r>
      <w:r>
        <w:rPr>
          <w:rFonts w:hint="default" w:ascii="Times New Roman" w:hAnsi="Times New Roman" w:cs="Times New Roman"/>
          <w:sz w:val="24"/>
          <w:szCs w:val="24"/>
          <w:lang w:val="pt-PT"/>
        </w:rPr>
        <w:t>3</w:t>
      </w:r>
      <w:r>
        <w:rPr>
          <w:rFonts w:ascii="Times New Roman" w:hAnsi="Times New Roman" w:cs="Times New Roman"/>
          <w:sz w:val="24"/>
          <w:szCs w:val="24"/>
        </w:rPr>
        <w:t xml:space="preserve"> — A ordenação final dos candidatos admitidos que completem o procedimento concursal é efetuada de acordo com a escala classificativa de 0 a 20 valores com valoração às centésimas.</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5</w:t>
      </w:r>
      <w:r>
        <w:rPr>
          <w:rFonts w:ascii="Times New Roman" w:hAnsi="Times New Roman" w:cs="Times New Roman"/>
          <w:sz w:val="24"/>
          <w:szCs w:val="24"/>
        </w:rPr>
        <w:t xml:space="preserve"> — Composição do júri: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Presidente: Isabel Maria Santos Jorge (Adjunta do Diretor);</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Vogais efetivos: António Joaquim Inácio (Psicólogo) e Jorge Manuel Gonçalves da Silva (Encarregado Operacional);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Vogais suplentes: Maria Raquel Vicente Alagoinha (Assessora) e Marco Paulo Cascão Santos Hipólito (Adjunto do Diretor).</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5.</w:t>
      </w:r>
      <w:r>
        <w:rPr>
          <w:rFonts w:ascii="Times New Roman" w:hAnsi="Times New Roman" w:cs="Times New Roman"/>
          <w:sz w:val="24"/>
          <w:szCs w:val="24"/>
        </w:rPr>
        <w:t>1 — O presidente do júri será substituído nas suas faltas e impedimentos por um dos Vogais efetivos.</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6</w:t>
      </w:r>
      <w:r>
        <w:rPr>
          <w:rFonts w:ascii="Times New Roman" w:hAnsi="Times New Roman" w:cs="Times New Roman"/>
          <w:sz w:val="24"/>
          <w:szCs w:val="24"/>
        </w:rPr>
        <w:t xml:space="preserve"> — Exclusão e notificação dos candidatos — Os candidatos excluídos serão notificados por uma das formas previstas no n.º 10 da portaria nº 125-A/2019, de 30 de abril, para realização da audiência dos interessados, nos termos do Código do Procedimento Administrativo.</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7</w:t>
      </w:r>
      <w:r>
        <w:rPr>
          <w:rFonts w:ascii="Times New Roman" w:hAnsi="Times New Roman" w:cs="Times New Roman"/>
          <w:sz w:val="24"/>
          <w:szCs w:val="24"/>
        </w:rPr>
        <w:t xml:space="preserve"> — Forma de publicitação da lista unitária de ordenação final dos candidatos:</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publicação dos resultados obtidos é efetuada através de lista ordenada, afixada em local visível na escola sede do agrupamento e disponibilizada na sua página eletrónica. </w:t>
      </w:r>
      <w:r>
        <w:rPr>
          <w:rFonts w:hint="default" w:ascii="Times New Roman" w:hAnsi="Times New Roman" w:cs="Times New Roman"/>
          <w:sz w:val="24"/>
          <w:szCs w:val="24"/>
          <w:lang w:val="pt-PT"/>
        </w:rPr>
        <w:t>8</w:t>
      </w:r>
      <w:r>
        <w:rPr>
          <w:rFonts w:ascii="Times New Roman" w:hAnsi="Times New Roman" w:cs="Times New Roman"/>
          <w:sz w:val="24"/>
          <w:szCs w:val="24"/>
        </w:rPr>
        <w:t xml:space="preserve"> — Nos termos do disposto no artigo 11.º da Portaria n.º 125-A/2019, de 30 de abril, o presente aviso será publicado na Bolsa de Emprego Público (www.bep.gov.pt), no 1.º dia útil seguinte à presente publicação no </w:t>
      </w:r>
      <w:r>
        <w:rPr>
          <w:rFonts w:ascii="Times New Roman" w:hAnsi="Times New Roman" w:cs="Times New Roman"/>
          <w:i/>
          <w:iCs/>
          <w:sz w:val="24"/>
          <w:szCs w:val="24"/>
        </w:rPr>
        <w:t xml:space="preserve">Diário da República, </w:t>
      </w:r>
      <w:r>
        <w:rPr>
          <w:rFonts w:ascii="Times New Roman" w:hAnsi="Times New Roman" w:cs="Times New Roman"/>
          <w:sz w:val="24"/>
          <w:szCs w:val="24"/>
        </w:rPr>
        <w:t>na página eletrónica do agrupamento e, no prazo máximo de 3 dias úteis contados a partir da mesma data, num jornal de expansão nacional.</w:t>
      </w:r>
    </w:p>
    <w:p>
      <w:p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pt-PT"/>
        </w:rPr>
        <w:t>9</w:t>
      </w:r>
      <w:r>
        <w:rPr>
          <w:rFonts w:ascii="Times New Roman" w:hAnsi="Times New Roman" w:cs="Times New Roman"/>
          <w:sz w:val="24"/>
          <w:szCs w:val="24"/>
        </w:rPr>
        <w:t xml:space="preserve"> — Este concurso é valido para eventuais contratações que ocorram durante o ano escolar 2019/2020.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24 de setembro de 2019 — O Diretor, </w:t>
      </w:r>
      <w:r>
        <w:rPr>
          <w:rFonts w:ascii="Times New Roman" w:hAnsi="Times New Roman" w:cs="Times New Roman"/>
          <w:i/>
          <w:iCs/>
          <w:sz w:val="24"/>
          <w:szCs w:val="24"/>
        </w:rPr>
        <w:t>Domingos Augusto Ramos Mendes</w:t>
      </w:r>
      <w:r>
        <w:rPr>
          <w:rFonts w:ascii="Times New Roman" w:hAnsi="Times New Roman" w:cs="Times New Roman"/>
          <w:sz w:val="24"/>
          <w:szCs w:val="24"/>
        </w:rPr>
        <w:t>.</w:t>
      </w: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pPr>
      <w:r>
        <w:drawing>
          <wp:inline distT="0" distB="0" distL="114300" distR="114300">
            <wp:extent cx="5399405" cy="3035935"/>
            <wp:effectExtent l="0" t="0" r="1079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399405" cy="3035935"/>
                    </a:xfrm>
                    <a:prstGeom prst="rect">
                      <a:avLst/>
                    </a:prstGeom>
                    <a:noFill/>
                    <a:ln>
                      <a:noFill/>
                    </a:ln>
                  </pic:spPr>
                </pic:pic>
              </a:graphicData>
            </a:graphic>
          </wp:inline>
        </w:drawing>
      </w:r>
    </w:p>
    <w:p>
      <w:pPr>
        <w:autoSpaceDE w:val="0"/>
        <w:autoSpaceDN w:val="0"/>
        <w:adjustRightInd w:val="0"/>
        <w:spacing w:after="0" w:line="240" w:lineRule="auto"/>
        <w:jc w:val="both"/>
      </w:pPr>
      <w:r>
        <w:drawing>
          <wp:inline distT="0" distB="0" distL="114300" distR="114300">
            <wp:extent cx="5399405" cy="3035935"/>
            <wp:effectExtent l="0" t="0" r="1079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399405" cy="3035935"/>
                    </a:xfrm>
                    <a:prstGeom prst="rect">
                      <a:avLst/>
                    </a:prstGeom>
                    <a:noFill/>
                    <a:ln>
                      <a:noFill/>
                    </a:ln>
                  </pic:spPr>
                </pic:pic>
              </a:graphicData>
            </a:graphic>
          </wp:inline>
        </w:drawing>
      </w:r>
      <w:bookmarkStart w:id="0" w:name="_GoBack"/>
      <w:bookmarkEnd w:id="0"/>
    </w:p>
    <w:sectPr>
      <w:pgSz w:w="11906" w:h="16838"/>
      <w:pgMar w:top="709"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auto"/>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74949"/>
    <w:multiLevelType w:val="multilevel"/>
    <w:tmpl w:val="76E74949"/>
    <w:lvl w:ilvl="0" w:tentative="0">
      <w:start w:val="1"/>
      <w:numFmt w:val="lowerRoman"/>
      <w:lvlText w:val="%1)"/>
      <w:lvlJc w:val="left"/>
      <w:pPr>
        <w:tabs>
          <w:tab w:val="left" w:pos="1080"/>
        </w:tabs>
        <w:ind w:left="108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90"/>
    <w:rsid w:val="00035483"/>
    <w:rsid w:val="00040476"/>
    <w:rsid w:val="00072A26"/>
    <w:rsid w:val="000B70A4"/>
    <w:rsid w:val="001125C1"/>
    <w:rsid w:val="00131B6E"/>
    <w:rsid w:val="00182361"/>
    <w:rsid w:val="00195521"/>
    <w:rsid w:val="00213565"/>
    <w:rsid w:val="00234FB5"/>
    <w:rsid w:val="002A7887"/>
    <w:rsid w:val="00334820"/>
    <w:rsid w:val="00372032"/>
    <w:rsid w:val="003803BE"/>
    <w:rsid w:val="003C12FD"/>
    <w:rsid w:val="00450734"/>
    <w:rsid w:val="004628A9"/>
    <w:rsid w:val="00477CEA"/>
    <w:rsid w:val="004A0599"/>
    <w:rsid w:val="004A26F0"/>
    <w:rsid w:val="004C57C1"/>
    <w:rsid w:val="004D612B"/>
    <w:rsid w:val="004E0E57"/>
    <w:rsid w:val="0054447D"/>
    <w:rsid w:val="00545AA1"/>
    <w:rsid w:val="005926DC"/>
    <w:rsid w:val="005B1998"/>
    <w:rsid w:val="005F3331"/>
    <w:rsid w:val="00653DE7"/>
    <w:rsid w:val="006B5744"/>
    <w:rsid w:val="007154F7"/>
    <w:rsid w:val="00720000"/>
    <w:rsid w:val="0074292D"/>
    <w:rsid w:val="00747861"/>
    <w:rsid w:val="00753C8C"/>
    <w:rsid w:val="00760D49"/>
    <w:rsid w:val="00767407"/>
    <w:rsid w:val="007C4312"/>
    <w:rsid w:val="007D1749"/>
    <w:rsid w:val="00876E56"/>
    <w:rsid w:val="008828FF"/>
    <w:rsid w:val="008C5081"/>
    <w:rsid w:val="008C5338"/>
    <w:rsid w:val="008C60D6"/>
    <w:rsid w:val="008F50E1"/>
    <w:rsid w:val="00907091"/>
    <w:rsid w:val="00943E0B"/>
    <w:rsid w:val="009773C9"/>
    <w:rsid w:val="00A40DD0"/>
    <w:rsid w:val="00A4233C"/>
    <w:rsid w:val="00A51CC9"/>
    <w:rsid w:val="00AA006D"/>
    <w:rsid w:val="00AA0D86"/>
    <w:rsid w:val="00AB5374"/>
    <w:rsid w:val="00AB7120"/>
    <w:rsid w:val="00AE2773"/>
    <w:rsid w:val="00AF6C73"/>
    <w:rsid w:val="00B8581D"/>
    <w:rsid w:val="00BF48DD"/>
    <w:rsid w:val="00C0207E"/>
    <w:rsid w:val="00C12090"/>
    <w:rsid w:val="00C56E0F"/>
    <w:rsid w:val="00C92D88"/>
    <w:rsid w:val="00C95B43"/>
    <w:rsid w:val="00CA17DE"/>
    <w:rsid w:val="00CF7FC8"/>
    <w:rsid w:val="00D34C0D"/>
    <w:rsid w:val="00D55A4D"/>
    <w:rsid w:val="00DC07F2"/>
    <w:rsid w:val="00E047E5"/>
    <w:rsid w:val="00E379DD"/>
    <w:rsid w:val="00E96ECE"/>
    <w:rsid w:val="00EA18F5"/>
    <w:rsid w:val="00EB5B62"/>
    <w:rsid w:val="00F30162"/>
    <w:rsid w:val="00F35518"/>
    <w:rsid w:val="00F646DE"/>
    <w:rsid w:val="00FC0139"/>
    <w:rsid w:val="00FE06FD"/>
    <w:rsid w:val="18BB7AD2"/>
    <w:rsid w:val="2EA02B1D"/>
    <w:rsid w:val="5DF41D20"/>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PT"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Texto de balão Carácte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0C7E1-D633-4430-8603-864612AA0B4C}">
  <ds:schemaRefs/>
</ds:datastoreItem>
</file>

<file path=docProps/app.xml><?xml version="1.0" encoding="utf-8"?>
<Properties xmlns="http://schemas.openxmlformats.org/officeDocument/2006/extended-properties" xmlns:vt="http://schemas.openxmlformats.org/officeDocument/2006/docPropsVTypes">
  <Template>Normal</Template>
  <Company>M. E. - GEPE</Company>
  <Pages>3</Pages>
  <Words>844</Words>
  <Characters>4560</Characters>
  <Lines>38</Lines>
  <Paragraphs>10</Paragraphs>
  <TotalTime>24</TotalTime>
  <ScaleCrop>false</ScaleCrop>
  <LinksUpToDate>false</LinksUpToDate>
  <CharactersWithSpaces>5394</CharactersWithSpaces>
  <Application>WPS Office_11.2.0.8888_F1E327BC-269C-435d-A152-05C5408002CA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2019-09-24T12:50:00Z</dcterms:created>
  <dc:creator>Isabel Maria Jorge</dc:creator>
  <cp:lastModifiedBy>patricia</cp:lastModifiedBy>
  <cp:lastPrinted>2017-01-04T10:53:00Z</cp:lastPrinted>
  <dcterms:modified xsi:type="dcterms:W3CDTF">2019-10-02T20:55:57Z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2057-11.2.0.8888</vt:lpwstr>
  </property>
</Properties>
</file>